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406"/>
      </w:tblGrid>
      <w:tr>
        <w:tc>
          <w:tcPr>
            <w:tcW w:type="dxa" w:w="9406"/>
            <w:shd w:val="clear" w:color="auto" w:fill="FFF7E6"/>
          </w:tcPr>
          <w:p>
            <w:r>
              <w:rPr>
                <w:b/>
                <w:sz w:val="20"/>
              </w:rPr>
              <w:t>ÖRNEK DİLEKÇE — Kısıtlama ve vasi atanması (TMK m.406)</w:t>
            </w:r>
          </w:p>
          <w:p>
            <w:r>
              <w:rPr>
                <w:color w:val="555555"/>
                <w:sz w:val="18"/>
              </w:rPr>
              <w:t>Bu belge genel bilgilendirme amaçlı bir örnektir; hukuki danışmanlık yerine geçmez. Noktalı yerleri kendi bilgilerinizle doldurun, size uymayan maddeleri çıkarın. Mahkemeye başvurmadan önce bir avukata danışmanız ya da bulunduğunuz ildeki baronun adli yardım bürosuna başvurmanız önerilir. Bu bilgilendirme kutusunu dilekçeyi vermeden önce silin. Kaynak: bimucadelekumar.com/yasal-danismanlik-ve-vasilik</w:t>
            </w:r>
          </w:p>
        </w:tc>
      </w:tr>
    </w:tbl>
    <w:p/>
    <w:p>
      <w:pPr>
        <w:spacing w:after="80"/>
        <w:jc w:val="center"/>
      </w:pPr>
      <w:r>
        <w:rPr>
          <w:b/>
        </w:rPr>
        <w:t>................................ NÖBETÇİ SULH HUKUK MAHKEMESİNE</w:t>
      </w:r>
    </w:p>
    <w:p>
      <w:pPr>
        <w:spacing w:after="280"/>
        <w:jc w:val="center"/>
      </w:pPr>
      <w:r>
        <w:rPr>
          <w:i/>
          <w:color w:val="555555"/>
          <w:sz w:val="18"/>
        </w:rPr>
        <w:t>[Not: Noktalı yere, hakkında talepte bulunulan kişinin MERNİS’te kayıtlı ikametgâh adresinin bulunduğu yer adliyesi yazılmalıdır (TMK m.411 uyarınca yetki kesindir). Dilekçeyi vermeden önce bu notu silin.]</w:t>
      </w:r>
    </w:p>
    <w:tbl>
      <w:tblPr>
        <w:tblW w:type="auto" w:w="0"/>
        <w:tblLayout w:type="fixed"/>
        <w:tblLook w:firstColumn="1" w:firstRow="1" w:lastColumn="0" w:lastRow="0" w:noHBand="0" w:noVBand="1" w:val="04A0"/>
      </w:tblPr>
      <w:tblGrid>
        <w:gridCol w:w="2948"/>
        <w:gridCol w:w="6123"/>
      </w:tblGrid>
      <w:tr>
        <w:tc>
          <w:tcPr>
            <w:tcW w:type="dxa" w:w="2948"/>
          </w:tcPr>
          <w:p>
            <w:pPr>
              <w:spacing w:after="80"/>
            </w:pPr>
            <w:r>
              <w:rPr>
                <w:b/>
              </w:rPr>
              <w:t>TALEP EDEN</w:t>
            </w:r>
          </w:p>
        </w:tc>
        <w:tc>
          <w:tcPr>
            <w:tcW w:type="dxa" w:w="6123"/>
          </w:tcPr>
          <w:p>
            <w:pPr>
              <w:spacing w:after="80"/>
            </w:pPr>
            <w:r>
              <w:t>: Ad Soyad, T.C. Kimlik No: ..............., Adres: ..............................................</w:t>
            </w:r>
          </w:p>
        </w:tc>
      </w:tr>
    </w:tbl>
    <w:tbl>
      <w:tblPr>
        <w:tblW w:type="auto" w:w="0"/>
        <w:tblLayout w:type="fixed"/>
        <w:tblLook w:firstColumn="1" w:firstRow="1" w:lastColumn="0" w:lastRow="0" w:noHBand="0" w:noVBand="1" w:val="04A0"/>
      </w:tblPr>
      <w:tblGrid>
        <w:gridCol w:w="2948"/>
        <w:gridCol w:w="6123"/>
      </w:tblGrid>
      <w:tr>
        <w:tc>
          <w:tcPr>
            <w:tcW w:type="dxa" w:w="2948"/>
          </w:tcPr>
          <w:p>
            <w:pPr>
              <w:spacing w:after="80"/>
            </w:pPr>
            <w:r>
              <w:rPr>
                <w:b/>
              </w:rPr>
              <w:t>VEKİLİ (varsa)</w:t>
            </w:r>
          </w:p>
        </w:tc>
        <w:tc>
          <w:tcPr>
            <w:tcW w:type="dxa" w:w="6123"/>
          </w:tcPr>
          <w:p>
            <w:pPr>
              <w:spacing w:after="80"/>
            </w:pPr>
            <w:r>
              <w:t>: Av. ..............................................</w:t>
            </w:r>
          </w:p>
        </w:tc>
      </w:tr>
    </w:tbl>
    <w:tbl>
      <w:tblPr>
        <w:tblW w:type="auto" w:w="0"/>
        <w:tblLayout w:type="fixed"/>
        <w:tblLook w:firstColumn="1" w:firstRow="1" w:lastColumn="0" w:lastRow="0" w:noHBand="0" w:noVBand="1" w:val="04A0"/>
      </w:tblPr>
      <w:tblGrid>
        <w:gridCol w:w="2948"/>
        <w:gridCol w:w="6123"/>
      </w:tblGrid>
      <w:tr>
        <w:tc>
          <w:tcPr>
            <w:tcW w:type="dxa" w:w="2948"/>
          </w:tcPr>
          <w:p>
            <w:pPr>
              <w:spacing w:after="80"/>
            </w:pPr>
            <w:r>
              <w:rPr>
                <w:b/>
              </w:rPr>
              <w:t>KISITLANMASI İSTENEN</w:t>
            </w:r>
          </w:p>
        </w:tc>
        <w:tc>
          <w:tcPr>
            <w:tcW w:type="dxa" w:w="6123"/>
          </w:tcPr>
          <w:p>
            <w:pPr>
              <w:spacing w:after="80"/>
            </w:pPr>
            <w:r>
              <w:t>: Ad Soyad, T.C. Kimlik No: ..............., Adres: ..............................................</w:t>
            </w:r>
          </w:p>
        </w:tc>
      </w:tr>
    </w:tbl>
    <w:tbl>
      <w:tblPr>
        <w:tblW w:type="auto" w:w="0"/>
        <w:tblLayout w:type="fixed"/>
        <w:tblLook w:firstColumn="1" w:firstRow="1" w:lastColumn="0" w:lastRow="0" w:noHBand="0" w:noVBand="1" w:val="04A0"/>
      </w:tblPr>
      <w:tblGrid>
        <w:gridCol w:w="2948"/>
        <w:gridCol w:w="6123"/>
      </w:tblGrid>
      <w:tr>
        <w:tc>
          <w:tcPr>
            <w:tcW w:type="dxa" w:w="2948"/>
          </w:tcPr>
          <w:p>
            <w:pPr>
              <w:spacing w:after="80"/>
            </w:pPr>
            <w:r>
              <w:rPr>
                <w:b/>
              </w:rPr>
              <w:t>KONU</w:t>
            </w:r>
          </w:p>
        </w:tc>
        <w:tc>
          <w:tcPr>
            <w:tcW w:type="dxa" w:w="6123"/>
          </w:tcPr>
          <w:p>
            <w:pPr>
              <w:spacing w:after="80"/>
            </w:pPr>
            <w:r>
              <w:t>: Türk Medeni Kanunu’nun 406. maddesi uyarınca ......................’nın kısıtlanması ve kendisine vasi atanması talebimizden ibarettir.</w:t>
            </w:r>
          </w:p>
        </w:tc>
      </w:tr>
    </w:tbl>
    <w:p>
      <w:pPr>
        <w:spacing w:before="200"/>
      </w:pPr>
      <w:r>
        <w:rPr>
          <w:b/>
        </w:rPr>
        <w:t>AÇIKLAMALAR</w:t>
      </w:r>
    </w:p>
    <w:p>
      <w:pPr>
        <w:tabs>
          <w:tab w:pos="454" w:val="left"/>
        </w:tabs>
        <w:ind w:left="454" w:hanging="454"/>
      </w:pPr>
      <w:r>
        <w:t>1.</w:t>
        <w:tab/>
        <w:t>Kısıtlanması istenen ......................, benim ................ (eşim / oğlum / kızım / babam / annem / kardeşim) olup yaklaşık ........ yıldır kumar ve bahis oynamaktadır.</w:t>
      </w:r>
    </w:p>
    <w:p>
      <w:pPr>
        <w:tabs>
          <w:tab w:pos="454" w:val="left"/>
        </w:tabs>
        <w:ind w:left="454" w:hanging="454"/>
      </w:pPr>
      <w:r>
        <w:t>2.</w:t>
        <w:tab/>
        <w:t>Kumar oynama davranışı nedeniyle ......../........ – ......../........ tarihleri arasında yaklaşık ............. TL tutarında borç altına girmiş; ........................ (çekilen krediler, kullanılan kredi kartları, satılan taşınmaz/araç/değerli eşyalar, verilen kefaletler, imzalanan senetler) gibi işlemler yapmıştır. Hakkında ........ adet icra takibi bulunmaktadır (Dosya No: ..............).</w:t>
      </w:r>
    </w:p>
    <w:p>
      <w:pPr>
        <w:tabs>
          <w:tab w:pos="454" w:val="left"/>
        </w:tabs>
        <w:ind w:left="454" w:hanging="454"/>
      </w:pPr>
      <w:r>
        <w:t>3.</w:t>
        <w:tab/>
        <w:t>Bu durum kendisini ve ailesini darlık ve yoksulluk tehlikesine düşürmektedir: ........................................................ (ör. kira ve faturalar ödenememektedir, ailenin geçimi tehlikeye girmiştir, ortak birikimler tükenmiştir).</w:t>
      </w:r>
    </w:p>
    <w:p>
      <w:pPr>
        <w:tabs>
          <w:tab w:pos="454" w:val="left"/>
        </w:tabs>
        <w:ind w:left="454" w:hanging="454"/>
      </w:pPr>
      <w:r>
        <w:t>4.</w:t>
        <w:tab/>
        <w:t>........................ tarihinden bu yana ........................ (hastane/kurum) bünyesinde kumar oynama bozukluğu nedeniyle tedavi görmektedir / tedaviyi kabul etmemektedir. Tedavi ve sağlık kayıtları ekte sunulmuştur.</w:t>
      </w:r>
    </w:p>
    <w:p>
      <w:pPr>
        <w:tabs>
          <w:tab w:pos="454" w:val="left"/>
        </w:tabs>
        <w:ind w:left="454" w:hanging="454"/>
      </w:pPr>
      <w:r>
        <w:t>5.</w:t>
        <w:tab/>
        <w:t>Kısıtlanması istenenin savurganlığı ve malvarlığını kötü yönetmesi, Türk Medeni Kanunu’nun 406. maddesinde öngörülen kısıtlama koşullarını oluşturmaktadır. Kendisinin korunması ve ailesinin zarar görmemesi için kısıtlanmasına ve kendisine, görevi yerine getirmeye ehil olan ........................ (ad soyad, yakınlık derecesi, T.C. Kimlik No) vasi olarak atanmasına karar verilmesi gerekmektedir.</w:t>
      </w:r>
    </w:p>
    <w:p>
      <w:pPr>
        <w:spacing w:before="200"/>
      </w:pPr>
      <w:r>
        <w:rPr>
          <w:b/>
        </w:rPr>
        <w:t>HUKUKİ NEDENLER</w:t>
      </w:r>
    </w:p>
    <w:p>
      <w:r>
        <w:t>4721 sayılı Türk Medeni Kanunu m.406 ve ilgili maddeleri, 6100 sayılı Hukuk Muhakemeleri Kanunu ve ilgili mevzuat.</w:t>
      </w:r>
    </w:p>
    <w:p>
      <w:pPr>
        <w:spacing w:before="200"/>
      </w:pPr>
      <w:r>
        <w:rPr>
          <w:b/>
        </w:rPr>
        <w:t>DELİLLER</w:t>
      </w:r>
    </w:p>
    <w:p>
      <w:r>
        <w:t>Nüfus kayıt örneği; banka hesap dökümleri ve kredi kartı ekstreleri; kredi ve borç belgeleri; icra dosyaları; Findeks (KKB) raporu; tapu ve araç kayıtları; tedavi ve sağlık kayıtları, gerektiğinde sağlık kurulu raporu; tanık beyanları (Tanık: ad soyad, adres); bilirkişi incelemesi ve her türlü yasal delil.</w:t>
      </w:r>
    </w:p>
    <w:p>
      <w:pPr>
        <w:spacing w:before="200"/>
      </w:pPr>
      <w:r>
        <w:rPr>
          <w:b/>
        </w:rPr>
        <w:t>SONUÇ VE İSTEM</w:t>
      </w:r>
    </w:p>
    <w:p>
      <w:pPr>
        <w:jc w:val="both"/>
      </w:pPr>
      <w:r>
        <w:t>Yukarıda açıklanan ve mahkemenizce resen gözetilecek nedenlerle; ......................’nın Türk Medeni Kanunu’nun 406. maddesi uyarınca kısıtlanmasına, kendisine ......................’nın vasi olarak atanmasına ve kararın ilanına karar verilmesini saygılarımla arz ve talep ederim.</w:t>
      </w:r>
    </w:p>
    <w:p/>
    <w:p>
      <w:pPr>
        <w:jc w:val="right"/>
      </w:pPr>
      <w:r>
        <w:rPr>
          <w:b w:val="0"/>
        </w:rPr>
        <w:t>Tarih: ..../..../20....</w:t>
        <w:br/>
      </w:r>
      <w:r>
        <w:rPr>
          <w:b/>
        </w:rPr>
        <w:t>Talep Eden</w:t>
        <w:br/>
      </w:r>
      <w:r>
        <w:t>Ad Soyad</w:t>
        <w:br/>
        <w:t>İmza</w:t>
      </w:r>
    </w:p>
    <w:p>
      <w:pPr>
        <w:spacing w:before="200"/>
      </w:pPr>
      <w:r>
        <w:rPr>
          <w:b/>
        </w:rPr>
        <w:t>EKLER</w:t>
      </w:r>
    </w:p>
    <w:p>
      <w:pPr>
        <w:tabs>
          <w:tab w:pos="454" w:val="left"/>
        </w:tabs>
        <w:ind w:left="454" w:hanging="454"/>
      </w:pPr>
      <w:r>
        <w:t>1.</w:t>
        <w:tab/>
        <w:t>Nüfus kayıt örneği</w:t>
      </w:r>
    </w:p>
    <w:p>
      <w:pPr>
        <w:tabs>
          <w:tab w:pos="454" w:val="left"/>
        </w:tabs>
        <w:ind w:left="454" w:hanging="454"/>
      </w:pPr>
      <w:r>
        <w:t>2.</w:t>
        <w:tab/>
        <w:t>Borç, kredi ve icra belgeleri</w:t>
      </w:r>
    </w:p>
    <w:p>
      <w:pPr>
        <w:tabs>
          <w:tab w:pos="454" w:val="left"/>
        </w:tabs>
        <w:ind w:left="454" w:hanging="454"/>
      </w:pPr>
      <w:r>
        <w:t>3.</w:t>
        <w:tab/>
        <w:t>Banka hesap dökümleri / kredi kartı ekstreleri</w:t>
      </w:r>
    </w:p>
    <w:p>
      <w:pPr>
        <w:tabs>
          <w:tab w:pos="454" w:val="left"/>
        </w:tabs>
        <w:ind w:left="454" w:hanging="454"/>
      </w:pPr>
      <w:r>
        <w:t>4.</w:t>
        <w:tab/>
        <w:t>Tedavi ve sağlık kayıtları (varsa)</w:t>
      </w:r>
    </w:p>
    <w:p>
      <w:pPr>
        <w:tabs>
          <w:tab w:pos="454" w:val="left"/>
        </w:tabs>
        <w:ind w:left="454" w:hanging="454"/>
      </w:pPr>
      <w:r>
        <w:t>5.</w:t>
        <w:tab/>
        <w:t>Tanık listesi</w:t>
      </w:r>
    </w:p>
    <w:p>
      <w:r>
        <w:br w:type="page"/>
      </w:r>
    </w:p>
    <w:p>
      <w:pPr>
        <w:spacing w:after="80"/>
        <w:jc w:val="center"/>
      </w:pPr>
      <w:r>
        <w:rPr>
          <w:b/>
        </w:rPr>
        <w:t>BAŞVURU SÜRECİ: ADIM ADIM</w:t>
      </w:r>
    </w:p>
    <w:p>
      <w:pPr>
        <w:spacing w:after="280"/>
        <w:jc w:val="center"/>
      </w:pPr>
      <w:r>
        <w:rPr>
          <w:b w:val="0"/>
          <w:color w:val="555555"/>
          <w:sz w:val="20"/>
        </w:rPr>
        <w:t>Vasilik ve yasal danışmanlık başvurularının genel akışı</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1</w:t>
            </w:r>
          </w:p>
        </w:tc>
        <w:tc>
          <w:tcPr>
            <w:tcW w:type="dxa" w:w="8164"/>
            <w:shd w:val="clear" w:color="auto" w:fill="F0FAF8"/>
          </w:tcPr>
          <w:p>
            <w:r>
              <w:rPr>
                <w:b/>
                <w:color w:val="0F766E"/>
              </w:rPr>
              <w:t>Durumu değerlendirin</w:t>
            </w:r>
          </w:p>
          <w:p>
            <w:r>
              <w:rPr>
                <w:sz w:val="21"/>
              </w:rPr>
              <w:t>Tedavi ekibiyle konuşun; mümkünse kararı kişiyle birlikte alın. Daha hafif bir yol (yasal danışmanlık) yeterli olabilir.</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2</w:t>
            </w:r>
          </w:p>
        </w:tc>
        <w:tc>
          <w:tcPr>
            <w:tcW w:type="dxa" w:w="8164"/>
            <w:shd w:val="clear" w:color="auto" w:fill="F0FAF8"/>
          </w:tcPr>
          <w:p>
            <w:r>
              <w:rPr>
                <w:b/>
                <w:color w:val="0F766E"/>
              </w:rPr>
              <w:t>Belgeleri toplayın</w:t>
            </w:r>
          </w:p>
          <w:p>
            <w:r>
              <w:rPr>
                <w:sz w:val="21"/>
              </w:rPr>
              <w:t>Banka dökümleri, kredi kartı ekstreleri, icra dosyaları, Findeks raporu, tapu/araç kayıtları, varsa tedavi raporları, tanıklar.</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3</w:t>
            </w:r>
          </w:p>
        </w:tc>
        <w:tc>
          <w:tcPr>
            <w:tcW w:type="dxa" w:w="8164"/>
            <w:shd w:val="clear" w:color="auto" w:fill="F0FAF8"/>
          </w:tcPr>
          <w:p>
            <w:r>
              <w:rPr>
                <w:b/>
                <w:color w:val="0F766E"/>
              </w:rPr>
              <w:t>Dilekçeyi hazırlayın</w:t>
            </w:r>
          </w:p>
          <w:p>
            <w:r>
              <w:rPr>
                <w:sz w:val="21"/>
              </w:rPr>
              <w:t>Bu örneği kendi durumunuza göre doldurun; bir avukata ya da baronun adli yardım bürosuna gösterin.</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4</w:t>
            </w:r>
          </w:p>
        </w:tc>
        <w:tc>
          <w:tcPr>
            <w:tcW w:type="dxa" w:w="8164"/>
            <w:shd w:val="clear" w:color="auto" w:fill="F0FAF8"/>
          </w:tcPr>
          <w:p>
            <w:r>
              <w:rPr>
                <w:b/>
                <w:color w:val="0F766E"/>
              </w:rPr>
              <w:t>Sulh hukuk mahkemesine başvurun</w:t>
            </w:r>
          </w:p>
          <w:p>
            <w:r>
              <w:rPr>
                <w:sz w:val="21"/>
              </w:rPr>
              <w:t>Dilekçe, hakkında talepte bulunulan kişinin MERNİS’te kayıtlı yerleşim yerindeki adliyede nöbetçi sulh hukuk mahkemesine verilir. Bu yetki kesindir (TMK m.411).</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5</w:t>
            </w:r>
          </w:p>
        </w:tc>
        <w:tc>
          <w:tcPr>
            <w:tcW w:type="dxa" w:w="8164"/>
            <w:shd w:val="clear" w:color="auto" w:fill="F0FAF8"/>
          </w:tcPr>
          <w:p>
            <w:r>
              <w:rPr>
                <w:b/>
                <w:color w:val="0F766E"/>
              </w:rPr>
              <w:t>Mahkeme incelemesi</w:t>
            </w:r>
          </w:p>
          <w:p>
            <w:r>
              <w:rPr>
                <w:sz w:val="21"/>
              </w:rPr>
              <w:t>Kişi dinlenir; deliller ve tanıklar incelenir; mahkeme gerekirse sağlık kurulu raporu ister.</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6</w:t>
            </w:r>
          </w:p>
        </w:tc>
        <w:tc>
          <w:tcPr>
            <w:tcW w:type="dxa" w:w="8164"/>
            <w:shd w:val="clear" w:color="auto" w:fill="F0FAF8"/>
          </w:tcPr>
          <w:p>
            <w:r>
              <w:rPr>
                <w:b/>
                <w:color w:val="0F766E"/>
              </w:rPr>
              <w:t>Karar</w:t>
            </w:r>
          </w:p>
          <w:p>
            <w:r>
              <w:rPr>
                <w:sz w:val="21"/>
              </w:rPr>
              <w:t>Mahkeme vasi ya da yasal danışman atar veya talebi reddeder. Karar ilan edilir.</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7</w:t>
            </w:r>
          </w:p>
        </w:tc>
        <w:tc>
          <w:tcPr>
            <w:tcW w:type="dxa" w:w="8164"/>
            <w:shd w:val="clear" w:color="auto" w:fill="F0FAF8"/>
          </w:tcPr>
          <w:p>
            <w:r>
              <w:rPr>
                <w:b/>
                <w:color w:val="0F766E"/>
              </w:rPr>
              <w:t>Denetim ve kaldırma</w:t>
            </w:r>
          </w:p>
          <w:p>
            <w:r>
              <w:rPr>
                <w:sz w:val="21"/>
              </w:rPr>
              <w:t>Vasi mahkemenin denetimindedir. Savurganlık veya bağımlılık nedeniyle kısıtlanan kişi, kısıtlanmasını gerektiren davranışların en az bir yıldır görülmediğini ortaya koyarak kısıtlılığın kaldırılmasını isteyebilir (TMK m.475).</w:t>
            </w:r>
          </w:p>
        </w:tc>
      </w:tr>
    </w:tbl>
    <w:p/>
    <w:p>
      <w:r>
        <w:rPr>
          <w:b/>
          <w:sz w:val="20"/>
        </w:rPr>
        <w:t xml:space="preserve">İcra takibine dikkat: </w:t>
      </w:r>
      <w:r>
        <w:rPr>
          <w:sz w:val="20"/>
        </w:rPr>
        <w:t>Kişi hakkında icra takibi başlatılırsa ödeme emrine, tebliğinden itibaren 7 gün içinde icra dairesine itiraz edilmelidir. Süre kaçırılırsa takip kesinleşir. Kumar ve bahis borçları dava ve icra yoluyla istenemese de (TBK m.604) bunun takipte ileri sürülebilmesi için itirazın süresinde yapılması gerekir.</w:t>
      </w:r>
    </w:p>
    <w:p>
      <w:r>
        <w:rPr>
          <w:color w:val="555555"/>
          <w:sz w:val="20"/>
        </w:rPr>
        <w:t>Ücretsiz hukuki destek: Maddi durumu avukat tutmaya yetmeyenler bulundukları ildeki baronun adli yardım bürosuna başvurabilir. Kumar sorunu için ücretsiz psikososyal destek: YEDAM 115.</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